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</w:t>
      </w:r>
      <w:r>
        <w:rPr>
          <w:rStyle w:val="cat-PhoneNumbergrp-28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9rplc-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-64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Dategrp-9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Нерсисяна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Мкртича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Григорьевича, </w:t>
      </w:r>
      <w:r>
        <w:rPr>
          <w:rStyle w:val="cat-ExternalSystem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Воскеат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4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настоятель местной религиозной организации – церковь «Святой Григорий Просветитель» </w:t>
      </w:r>
      <w:r>
        <w:rPr>
          <w:rStyle w:val="cat-Addressgrp-5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Ново-Нахичеванской и Российской церкви Армянской Апостольской церкви, расположенного по адресу: </w:t>
      </w:r>
      <w:r>
        <w:rPr>
          <w:rStyle w:val="cat-Addressgrp-6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5,19, </w:t>
      </w:r>
      <w:r>
        <w:rPr>
          <w:rStyle w:val="cat-PassportDatagrp-26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7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11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Нерсисян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ресу: </w:t>
      </w:r>
      <w:r>
        <w:rPr>
          <w:rStyle w:val="cat-Addressgrp-6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5,19,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Style w:val="cat-Dategrp-12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Нерсисян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6 Постановления Пленума Верховного Суда Российской Федерации от </w:t>
      </w:r>
      <w:r>
        <w:rPr>
          <w:rStyle w:val="cat-Date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27rplc-2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Нерсисяна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Нерсисяна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526620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Style w:val="cat-Dategrp-15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</w:t>
      </w:r>
      <w:r>
        <w:rPr>
          <w:rStyle w:val="cat-Dategrp-1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6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Нерсисяна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Нерсисяна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Мкртича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Григорьевича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</w:t>
      </w:r>
      <w:r>
        <w:rPr>
          <w:rStyle w:val="cat-Sumgrp-24rplc-3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30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PhoneNumbergrp-31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ТОФК </w:t>
      </w:r>
      <w:r>
        <w:rPr>
          <w:rStyle w:val="cat-PhoneNumbergrp-32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Style w:val="cat-PhoneNumbergrp-33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Style w:val="cat-PhoneNumbergrp-34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5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79786021211240232279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д. 9 </w:t>
      </w:r>
      <w:r>
        <w:rPr>
          <w:rStyle w:val="cat-Addressgrp-8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7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right="43"/>
        <w:jc w:val="both"/>
      </w:pPr>
      <w:r>
        <w:rPr>
          <w:rStyle w:val="cat-Dategrp-18rplc-4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 xml:space="preserve">окумент </w:t>
      </w:r>
      <w:r>
        <w:rPr>
          <w:rFonts w:ascii="Times New Roman" w:eastAsia="Times New Roman" w:hAnsi="Times New Roman" w:cs="Times New Roman"/>
        </w:rPr>
        <w:t>находит</w:t>
      </w:r>
      <w:r>
        <w:rPr>
          <w:rFonts w:ascii="Times New Roman" w:eastAsia="Times New Roman" w:hAnsi="Times New Roman" w:cs="Times New Roman"/>
        </w:rPr>
        <w:t xml:space="preserve">ся в деле № </w:t>
      </w:r>
      <w:r>
        <w:rPr>
          <w:rFonts w:ascii="Times New Roman" w:eastAsia="Times New Roman" w:hAnsi="Times New Roman" w:cs="Times New Roman"/>
        </w:rPr>
        <w:t>5-3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8rplc-0">
    <w:name w:val="cat-PhoneNumber grp-28 rplc-0"/>
    <w:basedOn w:val="DefaultParagraphFont"/>
  </w:style>
  <w:style w:type="character" w:customStyle="1" w:styleId="cat-PhoneNumbergrp-29rplc-1">
    <w:name w:val="cat-PhoneNumber grp-29 rplc-1"/>
    <w:basedOn w:val="DefaultParagraphFont"/>
  </w:style>
  <w:style w:type="character" w:customStyle="1" w:styleId="cat-Dategrp-9rplc-2">
    <w:name w:val="cat-Date grp-9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ExternalSystemDefinedgrp-38rplc-8">
    <w:name w:val="cat-ExternalSystemDefined grp-38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PassportDatagrp-26rplc-15">
    <w:name w:val="cat-PassportData grp-26 rplc-15"/>
    <w:basedOn w:val="DefaultParagraphFont"/>
  </w:style>
  <w:style w:type="character" w:customStyle="1" w:styleId="cat-ExternalSystemDefinedgrp-36rplc-16">
    <w:name w:val="cat-ExternalSystemDefined grp-36 rplc-16"/>
    <w:basedOn w:val="DefaultParagraphFont"/>
  </w:style>
  <w:style w:type="character" w:customStyle="1" w:styleId="cat-ExternalSystemDefinedgrp-37rplc-17">
    <w:name w:val="cat-ExternalSystemDefined grp-37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OrganizationNamegrp-27rplc-25">
    <w:name w:val="cat-OrganizationName grp-27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7rplc-30">
    <w:name w:val="cat-Date grp-17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Sumgrp-24rplc-34">
    <w:name w:val="cat-Sum grp-24 rplc-34"/>
    <w:basedOn w:val="DefaultParagraphFont"/>
  </w:style>
  <w:style w:type="character" w:customStyle="1" w:styleId="cat-PhoneNumbergrp-30rplc-35">
    <w:name w:val="cat-PhoneNumber grp-30 rplc-35"/>
    <w:basedOn w:val="DefaultParagraphFont"/>
  </w:style>
  <w:style w:type="character" w:customStyle="1" w:styleId="cat-PhoneNumbergrp-31rplc-36">
    <w:name w:val="cat-PhoneNumber grp-31 rplc-36"/>
    <w:basedOn w:val="DefaultParagraphFont"/>
  </w:style>
  <w:style w:type="character" w:customStyle="1" w:styleId="cat-PhoneNumbergrp-32rplc-37">
    <w:name w:val="cat-PhoneNumber grp-32 rplc-37"/>
    <w:basedOn w:val="DefaultParagraphFont"/>
  </w:style>
  <w:style w:type="character" w:customStyle="1" w:styleId="cat-PhoneNumbergrp-33rplc-38">
    <w:name w:val="cat-PhoneNumber grp-33 rplc-38"/>
    <w:basedOn w:val="DefaultParagraphFont"/>
  </w:style>
  <w:style w:type="character" w:customStyle="1" w:styleId="cat-PhoneNumbergrp-34rplc-39">
    <w:name w:val="cat-PhoneNumber grp-34 rplc-39"/>
    <w:basedOn w:val="DefaultParagraphFont"/>
  </w:style>
  <w:style w:type="character" w:customStyle="1" w:styleId="cat-PhoneNumbergrp-35rplc-40">
    <w:name w:val="cat-PhoneNumber grp-35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Dategrp-18rplc-46">
    <w:name w:val="cat-Date grp-1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